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118</w:t>
      </w:r>
    </w:p>
    <w:p>
      <w:r>
        <w:t>Bundesgericht (BGE), 1996-03-07, DE</w:t>
      </w:r>
    </w:p>
    <w:p>
      <w:r>
        <w:rPr>
          <w:b/>
        </w:rPr>
        <w:t xml:space="preserve">Quelle: </w:t>
      </w:r>
      <w:r>
        <w:t>https://mcp.opencaselaw.ch/entscheid/bge_122 III 118</w:t>
      </w:r>
    </w:p>
    <w:p>
      <w:r>
        <w:t>FR: ATF 122 III 118</w:t>
      </w:r>
    </w:p>
    <w:p>
      <w:r>
        <w:t>IT: DTF 122 III 118</w:t>
      </w:r>
    </w:p>
    <w:p>
      <w:pPr>
        <w:pStyle w:val="Heading2"/>
      </w:pPr>
      <w:r>
        <w:t>Regeste</w:t>
      </w:r>
    </w:p>
    <w:p>
      <w:r>
        <w:t>Regeste Art. 6 VVG; Auslegung vorformulierter Bestimmungen eines Versicherungsvertrags. Das Antragsformular kann Bestandteil des Versicherungsvertrags werden (E. 2b). Wird in diesem Formular auf die Anzeigepflicht von Gefahrstatsachen bei Vertragsschluss hingewiesen und enthalten die allgemeinen Versicherungsbedingungen (AVB) eine Klausel, welche die Folgen der Verletzung der Anzeigepflicht von während des laufenden Vertrages veränderten Gefahrstatsachen mit Art. 6 VVG vergleichbar regelt, kann nur eine klar verfasste Vertragsbestimmung die Folgen der Verletzung der anfänglichen Anzeigepflicht durch den Versicherungsnehmer nachträglich mildern (E. 2c/aa). Äussert sich eine Norm der AVB zur Verletzung der Anzeigepflicht, ist anhand ihres Inhalts und ihrer systematischen Stellung im Regelwerk zu prüfen, ob damit die Anzeigepflicht von Gefahrstatsachen bei Abschluss des Vertrages oder danach geregelt wurde (E. 2c). Bundesrecht ist verletzt, wenn für die Auslegung von AVB direkt die auf Zweifelsfälle zugeschnittene Unklarheitsregel herangezogen wird (E. 2d).</w:t>
      </w:r>
    </w:p>
    <w:p>
      <w:pPr>
        <w:pStyle w:val="Heading2"/>
      </w:pPr>
      <w:r>
        <w:t>Erwägungen</w:t>
      </w:r>
    </w:p>
    <w:p>
      <w:r>
        <w:rPr>
          <w:b/>
        </w:rPr>
        <w:t>E. 2</w:t>
      </w:r>
    </w:p>
    <w:p>
      <w:r>
        <w:t>Wenn der Anzeigepflichtige beim Abschluss des Versicherungsvertrages eine erhebliche Gefahrstatsache unrichtig mitgeteilt hat und der Versicherer binnen vier Wochen nach Kenntnisnahme von der Verletzung der Anzeigepflicht den Rücktritt erklärt, ist er an den Vertrag nicht gebunden ( Art. 6 VVG ; SR 221.229.1). Auf der Rückseite des Antragsformulars verwies die Beklagte auf diese Bestimmung und informierte die Klägerin, dass sie bei Verschweigung von wesentlichen Gefahrstatsachen "vom Vertrag zurücktreten kann". Die "Gemeinsamen Bestimmungen" der allgemeinen Versicherungsbedingungen für Motorwagen (AVB) regeln nebst anderem Beginn, Geltungsbereich und Dauer des Vertrages und gelten für alle Varianten der Fahrzeugversicherung (Art. 2 AVB). Art. 5 AVB, der die Überschrift "Gefahrsveränderung" trägt, verpflichtet den Versicherungsnehmer, während des laufenden Vertrages eine Gefahrserhöhung oder -verminderung schriftlich mitzuteilen. Kündigt die Versicherungsgesellschaft darauf den Vertrag nicht binnen 14 Tagen, erstreckt sich die Versicherung auch auf das mitgeteilte Risiko (Abs. 1). Unterlässt der Versicherungsnehmer die Mitteilung der Risikozunahme, ist die Gesellschaft an den Vertrag nicht gebunden (Abs. 2). Umgekehrt sichert diese für den Fall der angezeigten Risikoverminderung eine Prämienreduktion zu (Abs. 3). Art. 13 AVB mit dem Titel "Folgen bei vertragswidrigem Verhalten" lautet wie folgt: "Verletzt der Versicherte die Anzeigepflicht oder verstösst er gegen das Gebot der Vertragstreue, so entfällt die Leistungspflicht der Gesellschaft, es sei denn, der Versicherte weise nach, dass die Vertragsverletzung unverschuldet gewesen sei oder auf den Schaden bzw. die Rechtsstellung der Gesellschaft keinen Einfluss ausgeübt habe". Nebst den gemeinsamen Bestimmungen enthält der geschlossene Versicherungsvertrag noch besondere Klauseln zur Haftpflichtversicherung (Art. 101 ff. AVB), zur Kaskoversicherung (Art. 201 ff. AVB) und zur Unfallversicherung (Art. 301 ff. AVB). Nach Ansicht der Vorinstanz ist Art. 13 AVB unklar formuliert und muss daher zu Lasten der Beklagten als deren Verfasserin interpretiert werden. Weil sich diese Bestimmung somit auch auf die Anzeigepflicht von BGE 122 III 118 S. 121 Gefahrstatsachen bei Abschluss des Vertrages beziehe und das Rücktrittsrecht somit davon abhängig mache, dass die Verschweigung der Gefahrstatsache durch die Klägerin sich nicht auf den Diebstahlsschaden ausgewirkt habe, scheitere der Rücktritt der Beklagten an den allgemeinen Versicherungsbedingungen. Denn das in Art. 6 VVG enthaltene Rücktrittsrecht dürfe in Übereinstimmung mit Art. 98 Abs. 1 VVG zu Gunsten der Klägerin eingeschränkt werden. Daher habe die Beklagte die Versicherungsleistung zu erbringen, weshalb weitere strittige Punkte nicht geklärt werden müssten. Die Beklagte macht eine Verletzung von Bundesrecht geltend mit der Begründung, die Unklarheitsregel sei vor den anderen Auslegungsmitteln angewendet worden. Bei richtiger Auslegung von Art. 13 AVB und unter Berücksichtigung weiterer Vertragsbestimmungen werde klar, dass mit Art. 13 AVB nur die Anzeigepflicht nach Eintritt des Schadens geregelt worden, mithin Art. 6 VVG im Gegensatz zu der im angefochtenen Entscheid vertretenen Ansicht durch den Vertrag nicht verdrängt worden sei. Weil sich die Beklagte den Rücktritt bei falschen Angaben zu erheblichen Gefahrstatsachen auf der Rückseite des Antragsformulars unter Hinweis auf Art. 6 VVG vorbehalten habe, sei es unsinnig anzunehmen, sie habe mit Art. 13 AVB dieses Recht einschränken wollen; die Vorinstanz verkenne, dass dieser Vermerk auch Vertragsinhalt geworden sei. a) Vorformulierte Vertragsbestimmungen sind grundsätzlich nach den gleichen Regeln wie individuell verfasste Vertragsklauseln auszulegen. So erfolgt denn auch bei den allgemeinen Versicherungsbedingungen die Ermittlung des mutmasslichen Parteiwillens nach dem Vertrauensgrundsatz. Dabei hat der Richter vom Wortlaut auszugehen und zu berücksichtigen, was sachgerecht erscheint. Er orientiert sich dabei am dispositiven Recht, weil derjenige Vertragspartner, der dieses verdrängen will, das mit hinreichender Deutlichkeit zum Ausdruck bringen muss. Schliesslich und subsidiär müssen mehrdeutige Klauseln nach der Unklarheitsregel gegen den Versicherer als deren Verfasser ausgelegt werden ( BGE 119 II 368 E. 4b, BGE 118 II 342 E. 1a, BGE 117 II 609 E. 6c, BGE 115 II 264 E. 5a, BGE 112 II 245 E. II/1c S. 253 f., BGE 109 II 213 E. 2b und c). b) Art. 5 Abs. 2 AVB statuiert für den Fall der nicht mitgeteilten Risikozunahme während des laufenden Vertrages nichts anderes, als was Art. 6 VVG für die Anzeigepflicht bei Abschluss des Vertrages vorsieht, wobei die Beklagte im ersten Fall und anders als nach Art. 6 VVG offenbar den Rücktritt nicht erklären muss. Art. 5 Abs. 2 AVB ergänzt offensichtlich BGE 122 III 118 S. 122 Art. 6 VVG für während der Vertragsdauer eingetretene Veränderungen von Gefahrstatsachen. Dass auf diese Bestimmung bereits auf dem Antragsformular hingewiesen wird, leuchtet ein, enthält doch der Antrag die Willenserklärung der Klägerin auf Abschluss des Vertrages, weshalb es sachrichtig ist, sie als Versicherungsnehmerin schon in diesem Stadium darauf hinzuweisen, dass erhebliche Gefahrstatsachen anzuzeigen sind. Die Ansicht des Handelsgerichts, der Inhalt des Versicherungsvertrages dürfe bloss auf Grund der Police und der darin vorbehaltenen AVB ermittelt werden, macht daher schon aus praktischen Gründen wenig Sinn, würde doch ein Hinweis auf Art. 6 VVG in den AVB nichts mehr nützen, weil vorbestehende Gefahrstatsachen in der Phase des Vertragsschlusses angegeben werden müssen. Überdies zieht die Vorinstanz den Antrag zu Unrecht nicht in ihre Betrachtungen ein. Denn der Versicherungsvertrag kommt spätestens mit der Zustellung der Police (konkludente Annahme) zustande mit der Folge, dass der Antrag jedenfalls dann Vertragsbestandteil wird, wenn er wie hier alle wesentlichen Vertragspunkte enthielt und diese auch in die Police aufgenommen wurden, die infolgedessen keiner Berichtigung bedurfte ( Art. 1 OR sowie Art. 1 Abs. 4, Art. 4 Abs. 1, Art. 11 f. und 100 VVG; BGE 112 II 245 E. II/1 S. 251 ff.; ALFRED MAURER, Privatversicherungsrecht, 3. Aufl. 1995, S. 211 bis 217 und 220 f.; ROELLI/KELLER, Kommentar zum VVG, Bd. I: Allgemeine Bestimmungen, 2. Aufl. 1968, S. 30 ff., 34, 44 f., 46 und 51 f.; MORITZ KUHN, Grundzüge des Schweizerischen Privatversicherungsrechts, S. 85 und 123; BERNARD VIRET, Privatversicherungsrecht, 3. Aufl. 1991, S. 87 ff. und 97; WILLY KOENIG, SPR VII/2, S. 497 ff., 505 f., 508 und 512 f.; WILLY KOENIG, Schweizerisches Privatversicherungsrecht, 3. Aufl. 1967, S. 67 ff. und 76 f.). Auch wenn hier der Hinweis im Antragsformular auf Art. 6 VVG für die Auslegung beachtet werden muss, ist damit nicht von vornherein ausgeschlossen, dass der Klägerin in den AVB im nachhinein Konzessionen für den Fall nicht angezeigter Gefahrstatsachen gemacht worden sind. c) Bei der Interpretation breit angelegter allgemeiner Vertragsbestimmungen muss der systematischen Auslegung erhebliches Gewicht beigemessen werden (ROELLI/KELLER, a.a.O., S. 462 bei Fn. 3; allgemein KRAMER/SCHMIDLIN, N. 219 zu Art. 1 OR und GAUCH/SCHLUEP, Schweizerisches Obligationenrecht, Bd. I, 6. Aufl. 1995, Rz. 1'210 und 1'241 S. 230 und 235). aa) Das Handelsgericht findet Art. 5 AVB keiner Erwähnung wert und begründet die Pflicht der Beklagten, den Schaden zu decken, damit, der unklar abgefasste Art. 13 AVB müsse auch auf die Anzeigepflicht bei BGE 122 III 118 S. 123 Abschluss des Vertrages angewendet werden. Weil die Tatsache, wer häufigster Lenker eines Autos sei, keinen Einfluss auf den Schaden wegen Diebstahls habe, sei der Beklagten der Rücktritt verbaut. Betrachtet man den Hinweis im Antragsformular auf Art. 6 VVG und Art. 5 AVB (vgl. Art. 28 VVG ) im Zusammenhang, so ergibt sich für die Anzeigepflicht von Gefahrstatsachen bei und nach Abschluss des Vertrages ein einheitliches und schlüssiges Bild. Die Beklagte soll sich von der Pflicht der Schadloshaltung befreien können, wenn die Klägerin eine Gefahrstatsache, die das Versicherungsrisiko erhöht, unabhängig davon verschweigt, ob diese bei Abschluss des Vertrages bestand oder erst nachher eintrat. Warum bei diesem Befund für die Anzeigepflicht bei Abschluss des Vertrages in Abweichung von Art. 6 VVG und im Gegensatz zu Art. 5 AVB etwas anderes gelten sollte, ist nicht ersichtlich; der Vertrag enthält keinen Hinweis, der den Schluss zuliesse, die Parteien hätten das im Antrag unter Hinweis auf Art. 6 VVG erwähnte Rücktrittsrecht nachträglich einschränken wollen. Weltfremd erscheint das Argument des Handelsgerichts, es stehe der Beklagten etwa aus sozialpolitischen oder werbetechnischen Gründen frei, der Klägerin eine gegenüber dem Gesetz verbesserte Stellung einzuräumen. Erstens lässt sich der Rechtsprechung entnehmen, dass erfahrungsgemäss Verfasser allgemeiner Vertragsbestimmungen dazu neigen, die eigene Position zu Lasten des weniger gewandten Vertragspartners zu verbessern ( BGE 119 II 443 E. 1 und 2). Zweitens ist Werbung durch Entgegenkommen in allgemeinen Vertragsbestimmungen von vornherein kaum wirksam, ist doch notorisch, dass diese häufig nicht gelesen werden (ZELLER, in: Kommentar zum schweizerischen Privatrecht, OR Bd. I/1, herausgegeben von Honsell/Vogt/Wiegand, N. 60 zu Art. 18 OR ; KRAMER/SCHMIDLIN, N. 210 zu Art. 1 OR ). bb) Auch die Ansicht des Handelsgerichts, Art. 13 AVB regle die Anzeigepflicht des Versicherungsnehmers von Gefahren sowohl bei Abschluss des Vertrages als auch bei Eintritt eines Schadens, überzeugt nicht, ist doch nicht einzusehen, warum die Vorinstanz auch in diesem Punkt entgegen der Rechtsprechung und ohne Beachtung anderer Auslegungsmittel direkt die Unklarheitsregel anwendet, indem sie sich fast ausschliesslich mit der Bedeutung des Wortes "Anzeigepflicht" befasst. Art. 13 AVB steht am Schluss der den Vertragsinhalt allgemein umschreibenden Bestimmungen unter dem Titel "Folgen bei vertragswidrigem BGE 122 III 118 S. 124 Verhalten". In dieser Klausel selbst ist vom "Versicherten", von "Vertragsverletzung", von "Vertragstreue" und von "Schaden" die Rede; alles Elemente, die einen abgeschlossenen Vertrag und im Kontext den Eintritt des versicherten Ereignisses voraussetzen. Einzig das Wort "Anzeigepflicht" lässt sich im Sinne von Art. 6 VVG verstehen. Gerade das darf aber nicht überbewertet werden, weil auch Art. 38 VVG von der "Anzeigepflicht" bei Eintritt des versicherten Ereignisses spricht und in den AVB zu den einzelnen Leistungsbündeln des Versicherungsvertrags im Zusammenhang mit der Schadenmeldepflicht an die Beklagte konsequent auch das Wort "Anzeige" gebraucht wird (je Abs. 1 von Art. 109, 216 und 311 AVB). Dabei springt ins Auge, dass auch diese Bestimmungen am Schluss der jeweiligen materiellen Regelungen, jedoch unter dem Titel "Obliegenheiten im Schadenfall" stehen; ferner dass in ihnen, mit Ausnahme von Art. 216 Abs. 1 und 3 AVB, keine Sanktionen für eine Verletzung der Schadenanzeigepflicht vorgesehen sind, wofür gerade Art. 13 AVB in offensichtlicher Anlehnung an Art. 38 VVG die Rechtsfolgen regelt. Dafür, dass Art. 13 AVB nicht nur primär, sondern sogar ausschliesslich die Sanktionen im Fall der Verletzung der Anzeigepflicht nach Abschluss des Versicherungsvertrages normiert, spricht ferner, dass sowohl in dieser Bestimmung als auch in Art. 109 Abs. 4 AVB von "Vertragstreue" die Rede ist. d) Die systematische Auslegung der AVB nach dem Vertrauensprinzip muss somit zum Schluss führen, dass der Beklagten das Rücktrittsrecht nach Art. 6 VVG zusteht. Indem sich das Handelsgericht nicht an die Stufenfolge der Auslegungsgrundsätze gehalten hat, wonach die Unklarheitsregel erst bei Versagen aller übrigen Auslegungsgrundsätze herangezogen werden darf, hat es Bundesrecht verletzt ( BGE 118 II 342 E. 1a, BGE 112 II 245 E. II/1c S. 254, 109 II 213 E. 2c S. 219). Muss der angefochtene Entscheid somit aufgehoben werden, braucht zur Auslegungsregel, wonach eine Vertragsklausel bei Zweifeln über ihren Sinn nach Massgabe des dispositiven Rechts auszulegen ist, nicht Stellung genommen zu werden; dies auch deshalb, weil das Handelsgericht mit seiner Auslegung der AVB die rechtliche Stellung der Klägerin im Vergleich zum dispositiven Recht nicht eingeschränkt, sondern verbessert hatte (KRAMER/SCHMIDLIN, N. 109 zu Art. 1 OR ; GAUCH/SCHLUEP, a.a.O., Rz. 1'230 und 1'232 S. 233; ZELLER, a.a.O., N. 54 zu Art. 18 OR ; ebenfalls dort BUCHER, N. 64 zu Art. 1 OR ; MAURER, a.a.O., 162 f.; ROELLI/KELLER, a.a.O., S. 456 ff., insbes. 463).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